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47FF" w14:textId="24E2E32B" w:rsidR="0074335E" w:rsidRPr="00AC46C8" w:rsidRDefault="003E6B02" w:rsidP="00383714">
      <w:pPr>
        <w:pStyle w:val="Standardtekst"/>
        <w:tabs>
          <w:tab w:val="left" w:pos="5754"/>
          <w:tab w:val="left" w:pos="6379"/>
          <w:tab w:val="left" w:pos="6825"/>
        </w:tabs>
        <w:spacing w:line="360" w:lineRule="auto"/>
        <w:ind w:right="25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Godkendt</w:t>
      </w:r>
      <w:r w:rsidR="00064F8E" w:rsidRPr="00AC46C8">
        <w:rPr>
          <w:rFonts w:asciiTheme="minorHAnsi" w:hAnsiTheme="minorHAnsi"/>
          <w:sz w:val="22"/>
          <w:szCs w:val="22"/>
        </w:rPr>
        <w:tab/>
      </w:r>
      <w:r w:rsidR="00D068F3" w:rsidRPr="00AC46C8">
        <w:rPr>
          <w:rFonts w:asciiTheme="minorHAnsi" w:hAnsiTheme="minorHAnsi"/>
          <w:sz w:val="22"/>
          <w:szCs w:val="22"/>
        </w:rPr>
        <w:tab/>
      </w:r>
      <w:bookmarkStart w:id="0" w:name="@Dato"/>
      <w:r w:rsidR="00ED6D44" w:rsidRPr="00AC46C8">
        <w:rPr>
          <w:rFonts w:asciiTheme="minorHAnsi" w:hAnsiTheme="minorHAnsi"/>
          <w:sz w:val="22"/>
          <w:szCs w:val="22"/>
        </w:rPr>
        <w:tab/>
      </w:r>
      <w:r w:rsidR="0032568D">
        <w:rPr>
          <w:rFonts w:asciiTheme="minorHAnsi" w:hAnsiTheme="minorHAnsi"/>
          <w:sz w:val="22"/>
          <w:szCs w:val="22"/>
        </w:rPr>
        <w:t>23</w:t>
      </w:r>
      <w:r w:rsidR="00ED6D44" w:rsidRPr="00AC46C8">
        <w:rPr>
          <w:rFonts w:asciiTheme="minorHAnsi" w:hAnsiTheme="minorHAnsi"/>
          <w:sz w:val="22"/>
          <w:szCs w:val="22"/>
        </w:rPr>
        <w:t>. marts</w:t>
      </w:r>
      <w:r w:rsidR="008659D2" w:rsidRPr="00AC46C8">
        <w:rPr>
          <w:rFonts w:asciiTheme="minorHAnsi" w:hAnsiTheme="minorHAnsi"/>
          <w:sz w:val="22"/>
          <w:szCs w:val="22"/>
        </w:rPr>
        <w:t xml:space="preserve"> 2022</w:t>
      </w:r>
      <w:r w:rsidR="00D068F3" w:rsidRPr="00AC46C8">
        <w:rPr>
          <w:rFonts w:asciiTheme="minorHAnsi" w:hAnsiTheme="minorHAnsi"/>
          <w:sz w:val="22"/>
          <w:szCs w:val="22"/>
        </w:rPr>
        <w:t xml:space="preserve"> </w:t>
      </w:r>
      <w:bookmarkEnd w:id="0"/>
      <w:r w:rsidR="00064F8E" w:rsidRPr="00AC46C8">
        <w:rPr>
          <w:rFonts w:asciiTheme="minorHAnsi" w:hAnsiTheme="minorHAnsi"/>
          <w:sz w:val="22"/>
          <w:szCs w:val="22"/>
        </w:rPr>
        <w:t xml:space="preserve">/ </w:t>
      </w:r>
      <w:r w:rsidR="004C3ECA" w:rsidRPr="00AC46C8">
        <w:rPr>
          <w:rFonts w:asciiTheme="minorHAnsi" w:hAnsiTheme="minorHAnsi"/>
          <w:sz w:val="22"/>
          <w:szCs w:val="22"/>
        </w:rPr>
        <w:t>Sagsnr.</w:t>
      </w:r>
      <w:bookmarkStart w:id="1" w:name="@JourNr"/>
      <w:r w:rsidR="00D068F3" w:rsidRPr="00AC46C8">
        <w:rPr>
          <w:rFonts w:asciiTheme="minorHAnsi" w:hAnsiTheme="minorHAnsi"/>
          <w:sz w:val="22"/>
          <w:szCs w:val="22"/>
        </w:rPr>
        <w:t xml:space="preserve"> </w:t>
      </w:r>
      <w:bookmarkEnd w:id="1"/>
      <w:r w:rsidR="00B92277" w:rsidRPr="00AC46C8">
        <w:rPr>
          <w:rFonts w:asciiTheme="minorHAnsi" w:hAnsiTheme="minorHAnsi"/>
          <w:sz w:val="22"/>
          <w:szCs w:val="22"/>
        </w:rPr>
        <w:t>2022-603</w:t>
      </w:r>
    </w:p>
    <w:p w14:paraId="5EB0D2E2" w14:textId="77777777" w:rsidR="005C7B30" w:rsidRPr="00AC46C8" w:rsidRDefault="005C7B30" w:rsidP="003E6B02">
      <w:pPr>
        <w:pStyle w:val="Standardtekst"/>
        <w:tabs>
          <w:tab w:val="left" w:pos="5760"/>
          <w:tab w:val="left" w:leader="dot" w:pos="8400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</w:p>
    <w:p w14:paraId="7FF8689F" w14:textId="212CE0E5" w:rsidR="00A40D8C" w:rsidRPr="00AC46C8" w:rsidRDefault="003E6B02" w:rsidP="00383714">
      <w:pPr>
        <w:pStyle w:val="Standardtekst"/>
        <w:tabs>
          <w:tab w:val="left" w:pos="5760"/>
          <w:tab w:val="left" w:leader="dot" w:pos="8400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  <w:r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R</w:t>
      </w:r>
      <w:r w:rsidR="00A167BB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eferat</w:t>
      </w:r>
      <w:r w:rsidR="00D068F3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af</w:t>
      </w:r>
      <w:r w:rsidR="00D068F3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</w:t>
      </w:r>
      <w:r w:rsidR="008659D2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6</w:t>
      </w:r>
      <w:r w:rsidR="00471609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.</w:t>
      </w:r>
      <w:r w:rsidR="00D068F3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møde i bestyrels</w:t>
      </w:r>
      <w:r w:rsidR="00471609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en</w:t>
      </w:r>
    </w:p>
    <w:p w14:paraId="65124BEC" w14:textId="555D5298" w:rsidR="00A40D8C" w:rsidRPr="00AC46C8" w:rsidRDefault="00224871" w:rsidP="00383714">
      <w:pPr>
        <w:pStyle w:val="Standardtekst"/>
        <w:tabs>
          <w:tab w:val="left" w:pos="5760"/>
          <w:tab w:val="left" w:leader="dot" w:pos="8400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  <w:r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1</w:t>
      </w:r>
      <w:r w:rsidR="008659D2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8</w:t>
      </w:r>
      <w:r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.</w:t>
      </w:r>
      <w:r w:rsidR="00FE5238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</w:t>
      </w:r>
      <w:r w:rsidR="00A97D47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marts</w:t>
      </w:r>
      <w:r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</w:t>
      </w:r>
      <w:r w:rsidR="00471609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202</w:t>
      </w:r>
      <w:r w:rsidR="00FE5238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2</w:t>
      </w:r>
      <w:r w:rsidR="00064F8E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kl. </w:t>
      </w:r>
      <w:r w:rsidR="008659D2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09.00 – 14.00</w:t>
      </w:r>
      <w:r w:rsidR="00A97D47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</w:t>
      </w:r>
      <w:r w:rsidR="00064F8E"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- </w:t>
      </w:r>
      <w:r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Dansk Psykolog Forening</w:t>
      </w:r>
    </w:p>
    <w:p w14:paraId="10F593B1" w14:textId="40971F50" w:rsidR="000250CB" w:rsidRPr="00AC46C8" w:rsidRDefault="000250CB" w:rsidP="00383714">
      <w:pPr>
        <w:pStyle w:val="Standardtekst"/>
        <w:tabs>
          <w:tab w:val="left" w:pos="5760"/>
          <w:tab w:val="left" w:leader="dot" w:pos="8400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</w:p>
    <w:p w14:paraId="6497F5EB" w14:textId="2E5BBBDE" w:rsidR="001710DD" w:rsidRPr="00AC46C8" w:rsidRDefault="00A167BB" w:rsidP="00383714">
      <w:pPr>
        <w:pStyle w:val="Standardtekst"/>
        <w:tabs>
          <w:tab w:val="left" w:pos="5760"/>
          <w:tab w:val="left" w:leader="dot" w:pos="8400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  <w:r w:rsidRPr="00AC46C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Møde var fysisk</w:t>
      </w:r>
    </w:p>
    <w:p w14:paraId="14E2F471" w14:textId="360C4DBD" w:rsidR="001710DD" w:rsidRPr="00AC46C8" w:rsidRDefault="001710DD" w:rsidP="00383714">
      <w:pPr>
        <w:pStyle w:val="Standardtekst"/>
        <w:tabs>
          <w:tab w:val="left" w:pos="5760"/>
          <w:tab w:val="left" w:leader="dot" w:pos="8400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</w:p>
    <w:p w14:paraId="0C639995" w14:textId="3878AFBE" w:rsidR="00A167BB" w:rsidRPr="00AC46C8" w:rsidRDefault="00A167BB" w:rsidP="00383714">
      <w:pPr>
        <w:spacing w:line="360" w:lineRule="auto"/>
        <w:rPr>
          <w:rFonts w:asciiTheme="minorHAnsi" w:hAnsiTheme="minorHAnsi" w:cs="Calibri"/>
          <w:bCs/>
          <w:sz w:val="22"/>
          <w:szCs w:val="22"/>
        </w:rPr>
      </w:pPr>
      <w:r w:rsidRPr="00AC46C8">
        <w:rPr>
          <w:rFonts w:asciiTheme="minorHAnsi" w:hAnsiTheme="minorHAnsi" w:cs="Calibri"/>
          <w:b/>
          <w:sz w:val="22"/>
          <w:szCs w:val="22"/>
        </w:rPr>
        <w:t>Deltagere:</w:t>
      </w:r>
      <w:r w:rsidRPr="00AC46C8">
        <w:rPr>
          <w:rFonts w:asciiTheme="minorHAnsi" w:hAnsiTheme="minorHAnsi" w:cs="Calibri"/>
          <w:bCs/>
          <w:sz w:val="22"/>
          <w:szCs w:val="22"/>
        </w:rPr>
        <w:br/>
        <w:t>Amanda Kusk Jessen, Arne Grønborg Johansen (Forsinket, deltog fra</w:t>
      </w:r>
      <w:r w:rsidR="002221DF" w:rsidRPr="00AC46C8">
        <w:rPr>
          <w:rFonts w:asciiTheme="minorHAnsi" w:hAnsiTheme="minorHAnsi" w:cs="Calibri"/>
          <w:bCs/>
          <w:sz w:val="22"/>
          <w:szCs w:val="22"/>
        </w:rPr>
        <w:t xml:space="preserve"> midten af</w:t>
      </w:r>
      <w:r w:rsidRPr="00AC46C8">
        <w:rPr>
          <w:rFonts w:asciiTheme="minorHAnsi" w:hAnsiTheme="minorHAnsi" w:cs="Calibri"/>
          <w:bCs/>
          <w:sz w:val="22"/>
          <w:szCs w:val="22"/>
        </w:rPr>
        <w:t xml:space="preserve"> punkt </w:t>
      </w:r>
      <w:r w:rsidR="002221DF" w:rsidRPr="00AC46C8">
        <w:rPr>
          <w:rFonts w:asciiTheme="minorHAnsi" w:hAnsiTheme="minorHAnsi" w:cs="Calibri"/>
          <w:bCs/>
          <w:sz w:val="22"/>
          <w:szCs w:val="22"/>
        </w:rPr>
        <w:t>8</w:t>
      </w:r>
      <w:r w:rsidRPr="00AC46C8">
        <w:rPr>
          <w:rFonts w:asciiTheme="minorHAnsi" w:hAnsiTheme="minorHAnsi" w:cs="Calibri"/>
          <w:bCs/>
          <w:sz w:val="22"/>
          <w:szCs w:val="22"/>
        </w:rPr>
        <w:t xml:space="preserve">), Dea Seidenfaden, Joël C. Boukris, Karla Braga, Kristin Munch-Christiansen, Mette-Sofie Arnvig, Rose-Marie Mollerup, Troels Børsholt Rudkjøbing, </w:t>
      </w:r>
    </w:p>
    <w:p w14:paraId="12E499EC" w14:textId="0E3EC412" w:rsidR="00A167BB" w:rsidRPr="00AC46C8" w:rsidRDefault="00A167BB" w:rsidP="00383714">
      <w:pPr>
        <w:spacing w:line="360" w:lineRule="auto"/>
        <w:rPr>
          <w:rFonts w:asciiTheme="minorHAnsi" w:hAnsiTheme="minorHAnsi" w:cs="Calibri"/>
          <w:bCs/>
          <w:sz w:val="22"/>
          <w:szCs w:val="22"/>
        </w:rPr>
      </w:pPr>
      <w:r w:rsidRPr="00AC46C8">
        <w:rPr>
          <w:rFonts w:asciiTheme="minorHAnsi" w:hAnsiTheme="minorHAnsi" w:cs="Calibri"/>
          <w:b/>
          <w:sz w:val="22"/>
          <w:szCs w:val="22"/>
        </w:rPr>
        <w:t>Afbud:</w:t>
      </w:r>
      <w:r w:rsidRPr="00AC46C8">
        <w:rPr>
          <w:rFonts w:asciiTheme="minorHAnsi" w:hAnsiTheme="minorHAnsi" w:cs="Calibri"/>
          <w:bCs/>
          <w:sz w:val="22"/>
          <w:szCs w:val="22"/>
        </w:rPr>
        <w:br/>
        <w:t>Caroline Skjoldbirk, Caspar Christensen</w:t>
      </w:r>
      <w:r w:rsidR="001528DF" w:rsidRPr="00AC46C8">
        <w:rPr>
          <w:rFonts w:asciiTheme="minorHAnsi" w:hAnsiTheme="minorHAnsi" w:cs="Calibri"/>
          <w:bCs/>
          <w:sz w:val="22"/>
          <w:szCs w:val="22"/>
        </w:rPr>
        <w:t>, Thea Friborg</w:t>
      </w:r>
    </w:p>
    <w:p w14:paraId="110F20A2" w14:textId="03A88B37" w:rsidR="00A167BB" w:rsidRPr="00AC46C8" w:rsidRDefault="00A167BB" w:rsidP="00C45B3E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  <w:r w:rsidRPr="00AC46C8">
        <w:rPr>
          <w:rFonts w:asciiTheme="minorHAnsi" w:hAnsiTheme="minorHAnsi" w:cs="Calibri"/>
          <w:b/>
          <w:sz w:val="22"/>
          <w:szCs w:val="22"/>
        </w:rPr>
        <w:t>Fra sekretariatet deltog:</w:t>
      </w:r>
      <w:r w:rsidRPr="00AC46C8">
        <w:rPr>
          <w:rFonts w:asciiTheme="minorHAnsi" w:hAnsiTheme="minorHAnsi" w:cs="Calibri"/>
          <w:bCs/>
          <w:sz w:val="22"/>
          <w:szCs w:val="22"/>
        </w:rPr>
        <w:br/>
        <w:t>Jacob Stengaard Madsen, Lis Ethelberg, Mikkel Rode, Vibeke Grønvall Kristensen og Amanda Aaboe Bell (Ref.)</w:t>
      </w:r>
    </w:p>
    <w:p w14:paraId="05225CCC" w14:textId="77777777" w:rsidR="005C7B30" w:rsidRPr="00AC46C8" w:rsidRDefault="005C7B30" w:rsidP="00383714">
      <w:pPr>
        <w:pStyle w:val="Standardtekst"/>
        <w:tabs>
          <w:tab w:val="left" w:pos="5760"/>
          <w:tab w:val="left" w:leader="dot" w:pos="8400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356"/>
      </w:tblGrid>
      <w:tr w:rsidR="00AC46C8" w:rsidRPr="00AC46C8" w14:paraId="681AA0FF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0B7AD92B" w14:textId="77777777" w:rsidR="00763C00" w:rsidRPr="00AC46C8" w:rsidRDefault="00763C00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D1528BF" w14:textId="17F61F46" w:rsidR="00B54B14" w:rsidRPr="00AC46C8" w:rsidRDefault="0049213E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Godkendelse af dagsorden for møde nr. </w:t>
            </w:r>
            <w:r w:rsidR="008659D2" w:rsidRPr="00AC46C8"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  <w:r w:rsidR="00B01D9A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i bestyrelsen</w:t>
            </w:r>
            <w:r w:rsidR="00E236FA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1</w:t>
            </w:r>
            <w:r w:rsidR="008659D2" w:rsidRPr="00AC46C8">
              <w:rPr>
                <w:rFonts w:asciiTheme="minorHAnsi" w:hAnsiTheme="minorHAnsi" w:cs="Calibri"/>
                <w:b/>
                <w:sz w:val="22"/>
                <w:szCs w:val="22"/>
              </w:rPr>
              <w:t>8</w:t>
            </w:r>
            <w:r w:rsidR="00E236FA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</w:t>
            </w:r>
            <w:r w:rsidR="00A97D47" w:rsidRPr="00AC46C8">
              <w:rPr>
                <w:rFonts w:asciiTheme="minorHAnsi" w:hAnsiTheme="minorHAnsi" w:cs="Calibri"/>
                <w:b/>
                <w:sz w:val="22"/>
                <w:szCs w:val="22"/>
              </w:rPr>
              <w:t>marts</w:t>
            </w:r>
            <w:r w:rsidR="00E236FA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2022</w:t>
            </w: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02EA0DA8" w14:textId="3122E50A" w:rsidR="0049213E" w:rsidRPr="00AC46C8" w:rsidRDefault="001528DF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godkendte dagsorden for sjette møde i bestyrelsen. </w:t>
            </w:r>
          </w:p>
        </w:tc>
      </w:tr>
      <w:tr w:rsidR="00AC46C8" w:rsidRPr="00AC46C8" w14:paraId="269351F1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FA1E89D" w14:textId="77777777" w:rsidR="009F676A" w:rsidRPr="00AC46C8" w:rsidRDefault="009F676A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1E362C9B" w14:textId="000CCF11" w:rsidR="00621184" w:rsidRPr="00AC46C8" w:rsidRDefault="0049213E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Godkendelse af referat af BM</w:t>
            </w:r>
            <w:r w:rsidR="008659D2" w:rsidRPr="00AC46C8">
              <w:rPr>
                <w:rFonts w:asciiTheme="minorHAnsi" w:hAnsiTheme="minorHAnsi" w:cs="Calibri"/>
                <w:b/>
                <w:sz w:val="22"/>
                <w:szCs w:val="22"/>
              </w:rPr>
              <w:t>05</w:t>
            </w:r>
            <w:r w:rsidR="00EA2E3A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659D2" w:rsidRPr="00AC46C8">
              <w:rPr>
                <w:rFonts w:asciiTheme="minorHAnsi" w:hAnsiTheme="minorHAnsi" w:cs="Calibri"/>
                <w:b/>
                <w:sz w:val="22"/>
                <w:szCs w:val="22"/>
              </w:rPr>
              <w:t>1. marts</w:t>
            </w:r>
            <w:r w:rsidR="00FB5B34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2022</w:t>
            </w:r>
          </w:p>
          <w:p w14:paraId="7CA51208" w14:textId="21F12D98" w:rsidR="001528DF" w:rsidRDefault="001528DF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blev orienteret om, at referatet er uden specifikke navne for at undgå citatbrug, i stedet anvendes en passiv form fremadrettet</w:t>
            </w:r>
            <w:r w:rsidR="00AC46C8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  <w:p w14:paraId="3C6EEE2A" w14:textId="77777777" w:rsidR="00A74D4A" w:rsidRDefault="00A74D4A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6C9CB91" w14:textId="23F2E097" w:rsidR="001528DF" w:rsidRPr="00AC46C8" w:rsidRDefault="001528DF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godkendte referatet af BM05. </w:t>
            </w:r>
          </w:p>
        </w:tc>
      </w:tr>
      <w:tr w:rsidR="00AC46C8" w:rsidRPr="00AC46C8" w14:paraId="4959C3DB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17EA69D5" w14:textId="77777777" w:rsidR="00FD22DA" w:rsidRPr="00AC46C8" w:rsidRDefault="00FD22DA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19AEF35B" w14:textId="785F8681" w:rsidR="00FD22DA" w:rsidRPr="00AC46C8" w:rsidRDefault="00FD22DA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Orientering om referat af FU04 25. februar 2022</w:t>
            </w:r>
          </w:p>
          <w:p w14:paraId="3501EA9F" w14:textId="06B38FA3" w:rsidR="00FD22DA" w:rsidRDefault="001528DF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modtog referatet</w:t>
            </w:r>
            <w:r w:rsidR="00AC46C8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fra FU04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 fysisk eksemplar</w:t>
            </w:r>
            <w:r w:rsidR="00AC46C8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på BM05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 derfor er den formelle godkendelse rykket til dette møde, så bestyrelsen har haft mulighed for at </w:t>
            </w:r>
            <w:r w:rsidR="00AC46C8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orientere sig i referatet.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14:paraId="319A138B" w14:textId="77777777" w:rsidR="00A74D4A" w:rsidRPr="00AC46C8" w:rsidRDefault="00A74D4A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6EAD0D2" w14:textId="4A7E575C" w:rsidR="00A74D4A" w:rsidRPr="00AC46C8" w:rsidRDefault="00FF016D" w:rsidP="00C45B3E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tog r</w:t>
            </w:r>
            <w:r w:rsidR="001528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eferatet af FU04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til efterretning. </w:t>
            </w:r>
          </w:p>
        </w:tc>
      </w:tr>
      <w:tr w:rsidR="00AC46C8" w:rsidRPr="00AC46C8" w14:paraId="4AC65B00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5C1DC44B" w14:textId="77777777" w:rsidR="000250CB" w:rsidRPr="00AC46C8" w:rsidRDefault="000250CB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07520E62" w14:textId="7AFA03D0" w:rsidR="00035B66" w:rsidRPr="00AC46C8" w:rsidRDefault="00023AFC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Orientering om referat af FU</w:t>
            </w:r>
            <w:r w:rsidR="00FD22DA" w:rsidRPr="00AC46C8">
              <w:rPr>
                <w:rFonts w:asciiTheme="minorHAnsi" w:hAnsiTheme="minorHAnsi" w:cs="Calibri"/>
                <w:b/>
                <w:sz w:val="22"/>
                <w:szCs w:val="22"/>
              </w:rPr>
              <w:t>0</w:t>
            </w:r>
            <w:r w:rsidR="008659D2" w:rsidRPr="00AC46C8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EA2E3A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659D2" w:rsidRPr="00AC46C8">
              <w:rPr>
                <w:rFonts w:asciiTheme="minorHAnsi" w:hAnsiTheme="minorHAnsi" w:cs="Calibri"/>
                <w:b/>
                <w:sz w:val="22"/>
                <w:szCs w:val="22"/>
              </w:rPr>
              <w:t>8. marts</w:t>
            </w:r>
            <w:r w:rsidR="00EA2E3A"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2022</w:t>
            </w:r>
            <w:r w:rsidRPr="00AC46C8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</w:t>
            </w: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(VGK)</w:t>
            </w:r>
          </w:p>
          <w:p w14:paraId="76C0A327" w14:textId="6B7F92C3" w:rsidR="001528DF" w:rsidRPr="00AC46C8" w:rsidRDefault="00AC46C8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drøftede referatet af FU05. Undervejs blev d</w:t>
            </w:r>
            <w:r w:rsidR="001528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er sp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urgt</w:t>
            </w:r>
            <w:r w:rsidR="001528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til punkt 5 omkring DS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1528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BU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og specialisering. </w:t>
            </w:r>
            <w:r w:rsidR="001528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Drøftelsen af punktet blev uddybet af sekretariatet ift. hvad der motiverede henvendelsen fra DS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1528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BU</w:t>
            </w:r>
            <w:r w:rsidR="0089480A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 </w:t>
            </w:r>
            <w:r w:rsidR="00B03FAC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hvad resultatet af drøftelsen blev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  <w:p w14:paraId="504139C2" w14:textId="77777777" w:rsidR="001528DF" w:rsidRPr="00AC46C8" w:rsidRDefault="001528DF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29A76A5" w14:textId="40957CEA" w:rsidR="001528DF" w:rsidRPr="00AC46C8" w:rsidRDefault="00FF016D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tog r</w:t>
            </w:r>
            <w:r w:rsidR="001528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eferatet af FU05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til efterretning</w:t>
            </w:r>
            <w:r w:rsidR="00AC46C8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</w:tc>
      </w:tr>
      <w:tr w:rsidR="00C45B3E" w:rsidRPr="00AC46C8" w14:paraId="700F60A9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2D9F4EC7" w14:textId="77777777" w:rsidR="00C45B3E" w:rsidRPr="00AC46C8" w:rsidRDefault="00C45B3E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539E0414" w14:textId="01127F56" w:rsidR="00C45B3E" w:rsidRPr="00AC46C8" w:rsidRDefault="00C45B3E" w:rsidP="00C45B3E">
            <w:pPr>
              <w:pStyle w:val="Standardtekst"/>
              <w:spacing w:line="360" w:lineRule="auto"/>
              <w:ind w:righ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Radar (fortroligt)</w:t>
            </w:r>
          </w:p>
        </w:tc>
      </w:tr>
      <w:tr w:rsidR="00C45B3E" w:rsidRPr="00AC46C8" w14:paraId="49B15F26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338C7E0B" w14:textId="77777777" w:rsidR="00C45B3E" w:rsidRPr="00AC46C8" w:rsidRDefault="00C45B3E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35F12C56" w14:textId="77777777" w:rsidR="00C45B3E" w:rsidRPr="00AC46C8" w:rsidRDefault="00C45B3E" w:rsidP="00C45B3E">
            <w:pPr>
              <w:pStyle w:val="Standardtekst"/>
              <w:spacing w:line="360" w:lineRule="auto"/>
              <w:ind w:righ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Forberedelse til Formandskollegiemøde d. 18/3 </w:t>
            </w:r>
          </w:p>
          <w:p w14:paraId="003E9E30" w14:textId="77777777" w:rsidR="00C45B3E" w:rsidRPr="00AC46C8" w:rsidRDefault="00C45B3E" w:rsidP="00C45B3E">
            <w:pPr>
              <w:pStyle w:val="Standardtekst"/>
              <w:spacing w:line="360" w:lineRule="auto"/>
              <w:ind w:right="2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theme="minorHAnsi"/>
                <w:bCs/>
                <w:sz w:val="22"/>
                <w:szCs w:val="22"/>
              </w:rPr>
              <w:t>Under punktet drøftes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hvordan FMK-mødet skal afvikles. Bestyrelsen blev informeret om introduktionsøvelsen og det oplæg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som Dea Seidenfaden holder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og hvor det er muligt for bestyrelsen at bidrage med kommentarer undervejs.  </w:t>
            </w:r>
          </w:p>
          <w:p w14:paraId="7D473ABA" w14:textId="77777777" w:rsidR="00C45B3E" w:rsidRPr="00AC46C8" w:rsidRDefault="00C45B3E" w:rsidP="00C45B3E">
            <w:pPr>
              <w:pStyle w:val="Standardtekst"/>
              <w:spacing w:line="360" w:lineRule="auto"/>
              <w:ind w:right="2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CC3F9E" w14:textId="30A4E09E" w:rsidR="00C45B3E" w:rsidRPr="00AC46C8" w:rsidRDefault="00C45B3E" w:rsidP="00C45B3E">
            <w:pPr>
              <w:pStyle w:val="Standardtekst"/>
              <w:spacing w:line="360" w:lineRule="auto"/>
              <w:ind w:righ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theme="minorHAnsi"/>
                <w:bCs/>
                <w:sz w:val="22"/>
                <w:szCs w:val="22"/>
              </w:rPr>
              <w:t>Bestyrelsen mindes om transportreglerne, og at vi tager imod input fra deltagerne. Det understreges, at det ikke er formålet med FMK-mødet at drøfte transportregler.</w:t>
            </w:r>
          </w:p>
        </w:tc>
      </w:tr>
      <w:tr w:rsidR="00AC46C8" w:rsidRPr="00AC46C8" w14:paraId="43A48B2F" w14:textId="77777777" w:rsidTr="00D91E4B">
        <w:trPr>
          <w:trHeight w:val="13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457E7814" w14:textId="77777777" w:rsidR="00030282" w:rsidRPr="00AC46C8" w:rsidRDefault="00030282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11E8E6D8" w14:textId="77777777" w:rsidR="00030282" w:rsidRPr="00AC46C8" w:rsidRDefault="00AA03F2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Orientering om status på kommunikationsområdet</w:t>
            </w:r>
          </w:p>
          <w:p w14:paraId="0CEDC4BE" w14:textId="7F233265" w:rsidR="00DD2A6F" w:rsidRPr="00AC46C8" w:rsidRDefault="001E445A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blev orienteret fra sekretariatets side om status på kommunikationsområdet </w:t>
            </w:r>
            <w:r w:rsidR="0007636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-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og særligt de ændringer</w:t>
            </w:r>
            <w:r w:rsidR="003D07E9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der er sket med DP’s SoMe tilstedeværelse og den nye hjemmeside. Positive resultater fremhæves ift. søgninger</w:t>
            </w:r>
            <w:r w:rsidR="00204E8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på hjemmesiden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  <w:r w:rsidR="00340507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DP har opjusteret </w:t>
            </w:r>
            <w:r w:rsidR="00204E8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ressourcemæssigt </w:t>
            </w:r>
            <w:r w:rsidR="00340507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ift. SoMe blandt andet ved at ansætte en student med kompetence inden</w:t>
            </w:r>
            <w:r w:rsidR="003D07E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340507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for området og ved at få ekstern bistand ift. platforme og strategier på SoMe. </w:t>
            </w:r>
          </w:p>
          <w:p w14:paraId="25C34873" w14:textId="6200FE1C" w:rsidR="001E445A" w:rsidRPr="00AC46C8" w:rsidRDefault="001E445A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Fokus er nu </w:t>
            </w:r>
            <w:r w:rsidR="00204E83">
              <w:rPr>
                <w:rFonts w:asciiTheme="minorHAnsi" w:hAnsiTheme="minorHAnsi" w:cs="Calibri"/>
                <w:bCs/>
                <w:sz w:val="22"/>
                <w:szCs w:val="22"/>
              </w:rPr>
              <w:t>på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</w:t>
            </w:r>
            <w:r w:rsidR="00204E83">
              <w:rPr>
                <w:rFonts w:asciiTheme="minorHAnsi" w:hAnsiTheme="minorHAnsi" w:cs="Calibri"/>
                <w:bCs/>
                <w:sz w:val="22"/>
                <w:szCs w:val="22"/>
              </w:rPr>
              <w:t>ændre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hjemmesiden til de decentrale enheder</w:t>
            </w:r>
            <w:r w:rsidR="0007636C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så den bliver optimeret. Magasinet P er i en digitaliseringsproces. AOP bliver holdt på lavblus det næste halve år</w:t>
            </w:r>
            <w:r w:rsidR="003D07E9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indtil redaktøren kommer tilbage fra barsel. </w:t>
            </w:r>
            <w:r w:rsidR="00340507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DP får nyt medlemssystem</w:t>
            </w:r>
            <w:r w:rsidR="003D07E9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340507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 dette giver anledning til at gentænke processen for nyhedsbrevet. </w:t>
            </w:r>
          </w:p>
          <w:p w14:paraId="5BDC26BD" w14:textId="77777777" w:rsidR="00340507" w:rsidRPr="00AC46C8" w:rsidRDefault="00340507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FF07A57" w14:textId="6A9D2335" w:rsidR="005B41AD" w:rsidRDefault="00340507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Det anerkendes fra bestyrelsen, at drøftelserne fra forrige bestyrelsesperiode på kommunikationsområdet er taget til efterretning</w:t>
            </w:r>
            <w:r w:rsidR="0007636C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 der er anerkendelse af resultaterne</w:t>
            </w:r>
            <w:r w:rsidR="005F4757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foreningen har opnået på området. Der spørges til den økonomiske prioritering ift.  sekretariatsbemanding på presse- og kommunikationsområdet. Det fremhæves</w:t>
            </w:r>
            <w:r w:rsidR="005F4757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mange ressourcer går til driftsopgaver, da det er besluttet på GF og i bestyrelsen</w:t>
            </w:r>
            <w:r w:rsidR="0007636C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vi skal have mange platforme. </w:t>
            </w:r>
            <w:r w:rsidR="005A7E6B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Det fremhæves</w:t>
            </w:r>
            <w:r w:rsidR="0007636C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5A7E6B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der er oprustet på </w:t>
            </w:r>
            <w:r w:rsidR="0007636C">
              <w:rPr>
                <w:rFonts w:asciiTheme="minorHAnsi" w:hAnsiTheme="minorHAnsi" w:cs="Calibri"/>
                <w:bCs/>
                <w:sz w:val="22"/>
                <w:szCs w:val="22"/>
              </w:rPr>
              <w:t>presse- og kommunikationsområdet</w:t>
            </w:r>
            <w:r w:rsidR="005A7E6B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  <w:p w14:paraId="7D2A0D4F" w14:textId="295C8DC9" w:rsidR="005A7E6B" w:rsidRPr="00AC46C8" w:rsidRDefault="005B41AD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På den lukkede-Facebook gruppe </w:t>
            </w:r>
            <w:r w:rsidR="00DD2A6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foreslås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det</w:t>
            </w:r>
            <w:r w:rsidR="00DD2A6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fra bestyrelsen</w:t>
            </w:r>
            <w:r w:rsidR="003A364D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DD2A6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der kan skelnes mellem opslag</w:t>
            </w:r>
            <w:r w:rsidR="005F4757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DD2A6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der drejer sig om kurser, lokaler osv. og de politiske nyhedsopdateringer. </w:t>
            </w:r>
          </w:p>
          <w:p w14:paraId="2A23AA56" w14:textId="26A3A9B0" w:rsidR="00DD2A6F" w:rsidRPr="00AC46C8" w:rsidRDefault="00DD2A6F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Der opfordres til at veksle selfies </w:t>
            </w:r>
            <w:r w:rsidR="005B41A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af Dea fra diverse møder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med billeder af kontekstuelle ting, så</w:t>
            </w:r>
            <w:r w:rsidR="005B41A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opslagene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ikke</w:t>
            </w:r>
            <w:r w:rsidR="005B41A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risikere at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blive</w:t>
            </w:r>
            <w:r w:rsidR="005B41A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klichéfyldt</w:t>
            </w:r>
            <w:r w:rsidR="005B41AD">
              <w:rPr>
                <w:rFonts w:asciiTheme="minorHAnsi" w:hAnsiTheme="minorHAnsi" w:cs="Calibri"/>
                <w:bCs/>
                <w:sz w:val="22"/>
                <w:szCs w:val="22"/>
              </w:rPr>
              <w:t>e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  <w:p w14:paraId="49BEC68E" w14:textId="36D415CB" w:rsidR="005A7E6B" w:rsidRPr="00AC46C8" w:rsidRDefault="005A7E6B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154EF48" w14:textId="5EB81037" w:rsidR="005A7E6B" w:rsidRPr="00AC46C8" w:rsidRDefault="005A7E6B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Studentersektionen overvejer at få eget nyhedsbrev. Det bliver besluttet</w:t>
            </w:r>
            <w:r w:rsidR="005F4757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dette skal tages op bilateralt som separat drøftelse ift. studentersektionens kommunikation og tilstedeværelse på diverse platforme. </w:t>
            </w:r>
          </w:p>
          <w:p w14:paraId="29738D33" w14:textId="77777777" w:rsidR="005A7E6B" w:rsidRPr="00AC46C8" w:rsidRDefault="005A7E6B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C6A2896" w14:textId="6FB1976E" w:rsidR="00CC1E37" w:rsidRDefault="00CC1E37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Status og strategisk drøftelse af presse- og kommunikationsstrategien tages op ved næste kommunikationsstatus på BM om et halvt år. </w:t>
            </w:r>
          </w:p>
          <w:p w14:paraId="0B0B56A4" w14:textId="4D0798D6" w:rsidR="005B41AD" w:rsidRDefault="005B41AD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FD1833D" w14:textId="5652F0A9" w:rsidR="00CC1E37" w:rsidRPr="00AC46C8" w:rsidRDefault="005B41AD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tog afslutningsvis orienteringen om status på kommunikationsområdet til efterretning. </w:t>
            </w:r>
          </w:p>
        </w:tc>
      </w:tr>
      <w:tr w:rsidR="00AC46C8" w:rsidRPr="00AC46C8" w14:paraId="30B391F8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43532C22" w14:textId="77777777" w:rsidR="00EA2E3A" w:rsidRPr="00AC46C8" w:rsidRDefault="00EA2E3A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7C72CF9" w14:textId="6322F260" w:rsidR="00EA2E3A" w:rsidRPr="00AC46C8" w:rsidRDefault="00AA03F2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Orientering om halvårsafrapportering på arbejdsprogram 2021-24</w:t>
            </w:r>
          </w:p>
          <w:p w14:paraId="5092F7F4" w14:textId="2877858B" w:rsidR="004529B2" w:rsidRPr="00AC46C8" w:rsidRDefault="00CC1E37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blev informeret om, at de hvert halve år får en afrapportering </w:t>
            </w:r>
            <w:r w:rsidR="00D57BF2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af arbejdsprogrammet i dette format. </w:t>
            </w:r>
          </w:p>
          <w:p w14:paraId="0C4AE21E" w14:textId="77777777" w:rsidR="00D57BF2" w:rsidRPr="00AC46C8" w:rsidRDefault="00D57BF2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74500BF" w14:textId="45C6BC74" w:rsidR="00D57BF2" w:rsidRPr="00AC46C8" w:rsidRDefault="00D57BF2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På FU var der en drøftelse </w:t>
            </w:r>
            <w:r w:rsidR="003A364D">
              <w:rPr>
                <w:rFonts w:asciiTheme="minorHAnsi" w:hAnsiTheme="minorHAnsi" w:cs="Calibri"/>
                <w:bCs/>
                <w:sz w:val="22"/>
                <w:szCs w:val="22"/>
              </w:rPr>
              <w:t>af,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hvor mange ressourcer sekretariatet bruger på afrapportering ift. realisering af AP21-24. Det nuværende format er ressourcebesparende og bidrager desuden til beretningen </w:t>
            </w:r>
            <w:r w:rsidR="002221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forud for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GF24. </w:t>
            </w:r>
            <w:r w:rsidR="00284B86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Der var opbakning </w:t>
            </w:r>
            <w:r w:rsidR="005B41A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 bestyrelsen </w:t>
            </w:r>
            <w:r w:rsidR="00284B86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til</w:t>
            </w:r>
            <w:r w:rsidR="005B41A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afrapporterings</w:t>
            </w:r>
            <w:r w:rsidR="00284B86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formatet. </w:t>
            </w:r>
          </w:p>
          <w:p w14:paraId="68A508FA" w14:textId="1E5653F0" w:rsidR="00035969" w:rsidRPr="00AC46C8" w:rsidRDefault="00035969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BD17E32" w14:textId="197E3323" w:rsidR="00516735" w:rsidRPr="00E63205" w:rsidRDefault="00035969" w:rsidP="00516735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  <w:lang w:val="nb-NO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Sekretariatet gav en mundtlig overlevering af første halvårsrapportering i GF-perioden 21-24. Status er aktuelt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der er igangsat indsatser på samtlige AP-punkter med undtagelse </w:t>
            </w:r>
            <w:r w:rsidRPr="00AC46C8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>af 4.4 DP udformer en handicappolitik til gavn for alle medlemmer</w:t>
            </w:r>
            <w:r w:rsidR="005B41AD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 xml:space="preserve">. </w:t>
            </w:r>
            <w:r w:rsidR="0051673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ønskede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51673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der fra sekretariatet blev rakt ud til forslagsstillerne til punkt 4.4, så de orienteres om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</w:t>
            </w:r>
            <w:r w:rsidR="0051673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arbejdet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snarligt påbegyndes</w:t>
            </w:r>
            <w:r w:rsidR="0051673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på området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 de får mulighed for at indgå i dette arbejde</w:t>
            </w:r>
            <w:r w:rsidR="0051673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  <w:r w:rsidR="00E63205" w:rsidRPr="00E63205">
              <w:rPr>
                <w:rFonts w:asciiTheme="minorHAnsi" w:hAnsiTheme="minorHAnsi" w:cs="Calibri"/>
                <w:bCs/>
                <w:sz w:val="22"/>
                <w:szCs w:val="22"/>
                <w:lang w:val="nb-NO"/>
              </w:rPr>
              <w:t>Kristin Munch-Christiansen, Rose-Marie Mollerup og Karla Braga meldt</w:t>
            </w:r>
            <w:r w:rsidR="00E63205">
              <w:rPr>
                <w:rFonts w:asciiTheme="minorHAnsi" w:hAnsiTheme="minorHAnsi" w:cs="Calibri"/>
                <w:bCs/>
                <w:sz w:val="22"/>
                <w:szCs w:val="22"/>
                <w:lang w:val="nb-NO"/>
              </w:rPr>
              <w:t xml:space="preserve">e sig fra bestyrelsen til at deltage i arbejdet. </w:t>
            </w:r>
          </w:p>
          <w:p w14:paraId="1E089F39" w14:textId="4BD12094" w:rsidR="00284B86" w:rsidRPr="00E63205" w:rsidRDefault="00284B86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  <w:lang w:val="nb-NO"/>
              </w:rPr>
            </w:pPr>
          </w:p>
          <w:p w14:paraId="30DBA38F" w14:textId="7059EC30" w:rsidR="00284B86" w:rsidRPr="00AC46C8" w:rsidRDefault="00284B86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ønskede en uddybning til punkt </w:t>
            </w:r>
            <w:r w:rsidRPr="00516735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>2.2</w:t>
            </w:r>
            <w:r w:rsidR="00516735" w:rsidRPr="00516735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 xml:space="preserve"> DP styrker fremtidens behandling af mennesker med psykiske lidelser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, hvor de konkrete indsatser og det regionale spor savnes</w:t>
            </w:r>
            <w:r w:rsidR="00035969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 beskrivelsen af igangsatte indsatser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  <w:p w14:paraId="3BCEBC7C" w14:textId="5A1D13F4" w:rsidR="007E1B77" w:rsidRPr="00AC46C8" w:rsidRDefault="007E1B77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842BAFD" w14:textId="77777777" w:rsidR="000D07FE" w:rsidRPr="00AC46C8" w:rsidRDefault="000D07FE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blev orienteret om betydningen af organisationsprocenten ift. det mandat foreningen har i politiske forhandlinger. Dette er begrundelsen for, at DP aktivt søger at hverve nye medlemmer og fastholde eksisterende medlemmer. </w:t>
            </w:r>
          </w:p>
          <w:p w14:paraId="0426EA4A" w14:textId="77777777" w:rsidR="000D07FE" w:rsidRPr="00AC46C8" w:rsidRDefault="000D07FE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89368C9" w14:textId="57CC1844" w:rsidR="000D07FE" w:rsidRPr="00AC46C8" w:rsidRDefault="000D07FE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Det blev opsummeret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DP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har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et arbejdsprogram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hvor bestyrelsen fortsat ønsker at være en værdiskabende og betydningsfuld fagforening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som skaber relevante alliancer og skaber tryghed, resultater og forandringer for medlemmerne. </w:t>
            </w:r>
          </w:p>
          <w:p w14:paraId="13FAE73E" w14:textId="77777777" w:rsidR="000D07FE" w:rsidRPr="00AC46C8" w:rsidRDefault="000D07FE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8D0E379" w14:textId="56A05266" w:rsidR="00075418" w:rsidRPr="00AC46C8" w:rsidRDefault="00075418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Bestyrelsen drøftede indholdet af halvårsrapporteringen </w:t>
            </w:r>
            <w:r w:rsidR="002221D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og </w:t>
            </w:r>
            <w:r w:rsidR="00035969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tog </w:t>
            </w:r>
            <w:r w:rsidR="007E1B77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indholdet og formatet af </w:t>
            </w:r>
            <w:r w:rsidR="00035969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rapporteringen</w:t>
            </w:r>
            <w:r w:rsidR="007E1B77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35969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til efterretning. </w:t>
            </w:r>
          </w:p>
        </w:tc>
      </w:tr>
      <w:tr w:rsidR="00AC46C8" w:rsidRPr="00AC46C8" w14:paraId="11F9DA84" w14:textId="77777777" w:rsidTr="00D91E4B">
        <w:trPr>
          <w:trHeight w:val="341"/>
        </w:trPr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08DDCB30" w14:textId="77777777" w:rsidR="0059100C" w:rsidRPr="00AC46C8" w:rsidRDefault="0059100C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6C9731F" w14:textId="6C19184B" w:rsidR="001E2967" w:rsidRPr="00AC46C8" w:rsidRDefault="0059100C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Samarbejde med Akademikernes A-kasse</w:t>
            </w:r>
          </w:p>
          <w:p w14:paraId="1010736A" w14:textId="1E78D89E" w:rsidR="005C7B30" w:rsidRPr="00AC46C8" w:rsidRDefault="000D07FE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sk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ulle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under punktet tage stilling til om der ønskes et forpligtende samarbejde med </w:t>
            </w:r>
            <w:r w:rsidR="003A364D">
              <w:rPr>
                <w:rFonts w:asciiTheme="minorHAnsi" w:hAnsiTheme="minorHAnsi" w:cs="Calibri"/>
                <w:bCs/>
                <w:sz w:val="22"/>
                <w:szCs w:val="22"/>
              </w:rPr>
              <w:t>A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kademikernes A-kasse. </w:t>
            </w:r>
          </w:p>
          <w:p w14:paraId="41D75D78" w14:textId="77777777" w:rsidR="00162F4D" w:rsidRPr="00AC46C8" w:rsidRDefault="00162F4D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4B4AF52" w14:textId="187E586B" w:rsidR="00162F4D" w:rsidRPr="00AC46C8" w:rsidRDefault="00162F4D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drøftede det eksisterende samarbejde. Der gives udtryk for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studentersektionen har oplevet nogle vanskeligheder i samarbejdet med AKA ift. merchandise, skift af kontaktpersoner og manglende information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f.eks. i forbindelse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med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repræsent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ation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på universiteterne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Det besluttes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samarbejdsaftalen skal være specifik ift.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hvor de psykologistuderende melder sig ind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 forpligte på dette samarbejde om repræsentation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  <w:p w14:paraId="51506C4C" w14:textId="77777777" w:rsidR="001E5CB7" w:rsidRPr="00AC46C8" w:rsidRDefault="001E5CB7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17C88F4" w14:textId="4B6CC128" w:rsidR="001E5CB7" w:rsidRPr="00AC46C8" w:rsidRDefault="001E5CB7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Det fremhæves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i model</w:t>
            </w:r>
            <w:r w:rsidR="004E64B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Z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er DP’s ansvar at hverve medlemmer til DP og AKA. </w:t>
            </w:r>
            <w:r w:rsidR="004E64B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Studentersektionen kan umiddelbart ikke honorere de 200 indmeldelser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4E64B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som er et krav i model Y. </w:t>
            </w:r>
            <w:r w:rsidR="001C436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Det fremhæves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1C436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det kan tages op på bestyrelsesniveau i AKA</w:t>
            </w:r>
            <w:r w:rsidR="003A364D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1C436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hvordan studentersektionen er blevet behandlet. Det fremhæves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1C436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AKA er en god partner for DP og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DP’s</w:t>
            </w:r>
            <w:r w:rsidR="001C4365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studentersektion og har betydning ift. synligheden på universiteterne. </w:t>
            </w:r>
            <w:r w:rsidR="00896C81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Det fremhæves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896C81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kravet om de 200 medlemmer ikke virker rimeligt ift. psykologstandens størrelse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</w:t>
            </w:r>
            <w:r w:rsidR="00896C81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til dette svarer sekretariatet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896C81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tallet er reguleret ift. DP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’s størrelse</w:t>
            </w:r>
            <w:r w:rsidR="00896C81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. I den konkrete kontakt til AKA fra formandens side fremhæves det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896C81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samarbejdet er godt. </w:t>
            </w:r>
          </w:p>
          <w:p w14:paraId="45C9A12C" w14:textId="77777777" w:rsidR="00896C81" w:rsidRPr="00AC46C8" w:rsidRDefault="00896C81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FC8B5F9" w14:textId="3DB35CE4" w:rsidR="00896C81" w:rsidRPr="00AC46C8" w:rsidRDefault="00896C81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Bestyrelsen besluttede at gå videre med model X med det aber dabei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der skal være et forpligtende samarbejde omkring tilstedeværelse på universiteterne. </w:t>
            </w:r>
          </w:p>
        </w:tc>
      </w:tr>
      <w:tr w:rsidR="00AC46C8" w:rsidRPr="00AC46C8" w14:paraId="544942B3" w14:textId="77777777" w:rsidTr="00D91E4B"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16EB48FC" w14:textId="77777777" w:rsidR="00453618" w:rsidRPr="00AC46C8" w:rsidRDefault="00453618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  <w:hideMark/>
          </w:tcPr>
          <w:p w14:paraId="5B5BA95D" w14:textId="77777777" w:rsidR="00453618" w:rsidRPr="00AC46C8" w:rsidRDefault="00453618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Orienteringssager </w:t>
            </w:r>
          </w:p>
          <w:p w14:paraId="0375B2F9" w14:textId="241F790B" w:rsidR="00064F8E" w:rsidRPr="00AC46C8" w:rsidRDefault="00453618" w:rsidP="00383714">
            <w:pPr>
              <w:pStyle w:val="Standardtekst"/>
              <w:numPr>
                <w:ilvl w:val="0"/>
                <w:numId w:val="6"/>
              </w:numPr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Nyt fra formanden</w:t>
            </w:r>
          </w:p>
          <w:p w14:paraId="66735B48" w14:textId="78BA08F6" w:rsidR="00D52CF3" w:rsidRPr="00AC46C8" w:rsidRDefault="00D52CF3" w:rsidP="00383714">
            <w:pPr>
              <w:pStyle w:val="Standardtekst"/>
              <w:spacing w:line="360" w:lineRule="auto"/>
              <w:ind w:left="360"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Der blev orienteret omkring RSU og LFU og generelt de selvstændige med og uden ydernummer.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Uenighederne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handler i øjeblikket om </w:t>
            </w:r>
            <w:r w:rsidR="00C251E0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opsplitningen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mellem LFU og RSU,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hvor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LFU har haft en observatør på RSU</w:t>
            </w:r>
            <w:r w:rsidR="00C251E0" w:rsidRPr="00AC46C8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møderne. RSU ønsker ikke længere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der skal være en observatør til stede, men LFU har behov for at være orienterede om forholdene på overenskomstområdet. </w:t>
            </w:r>
          </w:p>
          <w:p w14:paraId="6D5A983F" w14:textId="10D4AF43" w:rsidR="00D52CF3" w:rsidRPr="00AC46C8" w:rsidRDefault="00D52CF3" w:rsidP="00383714">
            <w:pPr>
              <w:pStyle w:val="Standardtekst"/>
              <w:spacing w:line="360" w:lineRule="auto"/>
              <w:ind w:left="360"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Bestyrelsen må derfor træffe en beslutning. Forslaget er, at bestyrelsen beslutter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der ikke er observatører til stede, men at der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fremadrettet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skal være et fællesmøde med LFU og RSU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og dette afholdes i forbindelse med RSU-møder. Dette møde skal være ligeværdigt. RSU kan umiddelbart gå med til denne model og kan i fortrolighed tale om ydernummerordningen, mens LFU er bekymret for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om de så er tilstrækkeligt informeret og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>om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hvorvidt de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sættes uden for indflydelse. Dea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Seidenfaden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og Joël </w:t>
            </w:r>
            <w:r w:rsidR="0051673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Boukris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forpligter sig på ansvaret for at få modellen til at spille og sikre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parterne er tilfredse. </w:t>
            </w:r>
          </w:p>
          <w:p w14:paraId="5E1ED325" w14:textId="5F970DC7" w:rsidR="00C251E0" w:rsidRPr="00AC46C8" w:rsidRDefault="00C251E0" w:rsidP="00383714">
            <w:pPr>
              <w:pStyle w:val="Standardtekst"/>
              <w:spacing w:line="360" w:lineRule="auto"/>
              <w:ind w:left="360"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0F8753E" w14:textId="4A544A5F" w:rsidR="00C251E0" w:rsidRPr="00AC46C8" w:rsidRDefault="00C251E0" w:rsidP="00383714">
            <w:pPr>
              <w:pStyle w:val="Standardtekst"/>
              <w:spacing w:line="360" w:lineRule="auto"/>
              <w:ind w:left="360"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>Der fremhæves</w:t>
            </w:r>
            <w:r w:rsidR="00C869D1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 det bør være en prøveperiode. </w:t>
            </w:r>
          </w:p>
          <w:p w14:paraId="648BD7BC" w14:textId="39534FEA" w:rsidR="00C251E0" w:rsidRPr="00AC46C8" w:rsidRDefault="00C251E0" w:rsidP="00383714">
            <w:pPr>
              <w:pStyle w:val="Standardtekst"/>
              <w:spacing w:line="360" w:lineRule="auto"/>
              <w:ind w:left="360"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Der spørges opklarende til størrelsen på udvalgene, 15 i RSU (3 fra hver region) LFU er en fast udvalg på 5 medlemmer, </w:t>
            </w:r>
            <w:r w:rsidR="00DC005B">
              <w:rPr>
                <w:rFonts w:asciiTheme="minorHAnsi" w:hAnsiTheme="minorHAnsi" w:cs="Calibri"/>
                <w:bCs/>
                <w:sz w:val="22"/>
                <w:szCs w:val="22"/>
              </w:rPr>
              <w:t>udgjort af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bestyrelsesmedlemmer og SPS-styrelsen.</w:t>
            </w:r>
            <w:r w:rsidR="00206398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Begge udvalg er en del af SPS, men rep</w:t>
            </w:r>
            <w:r w:rsidR="004C265F"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ræsenterer to forskellige områder. </w:t>
            </w: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14:paraId="1A57FB35" w14:textId="63C3AB34" w:rsidR="00C251E0" w:rsidRPr="00AC46C8" w:rsidRDefault="00C251E0" w:rsidP="00383714">
            <w:pPr>
              <w:pStyle w:val="Standardtekst"/>
              <w:spacing w:line="360" w:lineRule="auto"/>
              <w:ind w:left="360"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14:paraId="0A897C7A" w14:textId="77777777" w:rsidR="00453618" w:rsidRDefault="00453618" w:rsidP="00383714">
            <w:pPr>
              <w:pStyle w:val="Standardtekst"/>
              <w:numPr>
                <w:ilvl w:val="0"/>
                <w:numId w:val="6"/>
              </w:numPr>
              <w:spacing w:line="360" w:lineRule="auto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Nyt fra sekretariatet</w:t>
            </w:r>
          </w:p>
          <w:p w14:paraId="6A9AEB7E" w14:textId="538CBB40" w:rsidR="00DC005B" w:rsidRPr="00AC46C8" w:rsidRDefault="00DC005B" w:rsidP="00DC005B">
            <w:pPr>
              <w:pStyle w:val="Standardtekst"/>
              <w:spacing w:line="360" w:lineRule="auto"/>
              <w:ind w:left="360"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Der var ikke noget nyt fra sekretariatet. </w:t>
            </w:r>
          </w:p>
        </w:tc>
      </w:tr>
      <w:tr w:rsidR="00AC46C8" w:rsidRPr="00AC46C8" w14:paraId="24683126" w14:textId="77777777" w:rsidTr="00D91E4B"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5600B74C" w14:textId="77777777" w:rsidR="00453618" w:rsidRPr="00AC46C8" w:rsidRDefault="00453618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  <w:hideMark/>
          </w:tcPr>
          <w:p w14:paraId="7484C436" w14:textId="77777777" w:rsidR="00453618" w:rsidRPr="00AC46C8" w:rsidRDefault="00453618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 xml:space="preserve">Evaluering af mødet </w:t>
            </w:r>
          </w:p>
        </w:tc>
      </w:tr>
      <w:tr w:rsidR="00AC46C8" w:rsidRPr="00AC46C8" w14:paraId="2EDC83FC" w14:textId="77777777" w:rsidTr="00D91E4B"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4C323713" w14:textId="77777777" w:rsidR="00453618" w:rsidRPr="00AC46C8" w:rsidRDefault="00453618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  <w:hideMark/>
          </w:tcPr>
          <w:p w14:paraId="35AFA869" w14:textId="35C797B1" w:rsidR="00453618" w:rsidRPr="00AC46C8" w:rsidRDefault="00453618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Eventuelt</w:t>
            </w:r>
          </w:p>
        </w:tc>
      </w:tr>
      <w:tr w:rsidR="00AC46C8" w:rsidRPr="00AC46C8" w14:paraId="0D8EA7F9" w14:textId="77777777" w:rsidTr="00D91E4B">
        <w:tc>
          <w:tcPr>
            <w:tcW w:w="567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52359408" w14:textId="77777777" w:rsidR="00EA2E3A" w:rsidRPr="00AC46C8" w:rsidRDefault="00EA2E3A" w:rsidP="00383714">
            <w:pPr>
              <w:pStyle w:val="Standardtek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C7CDF47" w14:textId="37AAFEDC" w:rsidR="00EA2E3A" w:rsidRPr="00AC46C8" w:rsidRDefault="00EA2E3A" w:rsidP="00383714">
            <w:pPr>
              <w:pStyle w:val="Standardtekst"/>
              <w:spacing w:line="360" w:lineRule="auto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C46C8">
              <w:rPr>
                <w:rFonts w:asciiTheme="minorHAnsi" w:hAnsiTheme="minorHAnsi" w:cs="Calibri"/>
                <w:b/>
                <w:sz w:val="22"/>
                <w:szCs w:val="22"/>
              </w:rPr>
              <w:t>Fast lukket punkt</w:t>
            </w:r>
          </w:p>
        </w:tc>
      </w:tr>
    </w:tbl>
    <w:p w14:paraId="058CCB54" w14:textId="52AD3119" w:rsidR="00E80D60" w:rsidRPr="00AC46C8" w:rsidRDefault="00103CC3" w:rsidP="00383714">
      <w:pPr>
        <w:spacing w:line="360" w:lineRule="auto"/>
        <w:rPr>
          <w:szCs w:val="24"/>
        </w:rPr>
      </w:pPr>
      <w:r w:rsidRPr="00AC46C8">
        <w:rPr>
          <w:rFonts w:asciiTheme="minorHAnsi" w:hAnsiTheme="minorHAnsi" w:cs="Calibri"/>
          <w:bCs/>
          <w:sz w:val="22"/>
          <w:szCs w:val="22"/>
        </w:rPr>
        <w:t>/</w:t>
      </w:r>
      <w:r w:rsidR="009F676A" w:rsidRPr="00AC46C8">
        <w:rPr>
          <w:rFonts w:asciiTheme="minorHAnsi" w:hAnsiTheme="minorHAnsi" w:cs="Calibri"/>
          <w:bCs/>
          <w:sz w:val="22"/>
          <w:szCs w:val="22"/>
        </w:rPr>
        <w:t>Jacob Stengaard Madsen</w:t>
      </w:r>
    </w:p>
    <w:sectPr w:rsidR="00E80D60" w:rsidRPr="00AC46C8" w:rsidSect="00064F8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614B" w14:textId="77777777" w:rsidR="00FE1957" w:rsidRDefault="00FE1957">
      <w:r>
        <w:separator/>
      </w:r>
    </w:p>
  </w:endnote>
  <w:endnote w:type="continuationSeparator" w:id="0">
    <w:p w14:paraId="00D1A0B1" w14:textId="77777777" w:rsidR="00FE1957" w:rsidRDefault="00FE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5048269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1F0502" w14:textId="1E6E6AC7" w:rsidR="004C3ECA" w:rsidRPr="004C3ECA" w:rsidRDefault="00A167BB">
            <w:pPr>
              <w:pStyle w:val="Sidefod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Referat BM06 //</w:t>
            </w:r>
            <w:r w:rsidR="00A74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3ECA" w:rsidRPr="004C3ECA">
              <w:rPr>
                <w:rFonts w:asciiTheme="minorHAnsi" w:hAnsiTheme="minorHAnsi"/>
                <w:sz w:val="22"/>
                <w:szCs w:val="22"/>
              </w:rPr>
              <w:t xml:space="preserve">Side </w:t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85B8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4C3ECA" w:rsidRPr="004C3ECA">
              <w:rPr>
                <w:rFonts w:asciiTheme="minorHAnsi" w:hAnsiTheme="minorHAnsi"/>
                <w:sz w:val="22"/>
                <w:szCs w:val="22"/>
              </w:rPr>
              <w:t xml:space="preserve"> af </w:t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85B8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4C3ECA" w:rsidRPr="004C3E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100247" w14:textId="77777777" w:rsidR="00EF3677" w:rsidRDefault="00EF36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3F19" w14:textId="77777777" w:rsidR="00FE1957" w:rsidRDefault="00FE1957">
      <w:r>
        <w:separator/>
      </w:r>
    </w:p>
  </w:footnote>
  <w:footnote w:type="continuationSeparator" w:id="0">
    <w:p w14:paraId="7885B811" w14:textId="77777777" w:rsidR="00FE1957" w:rsidRDefault="00FE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CBB5" w14:textId="77777777" w:rsidR="00EF3677" w:rsidRDefault="00AA0B41">
    <w:pPr>
      <w:pStyle w:val="Sidehoved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1E96FA36" wp14:editId="2109B153">
          <wp:simplePos x="0" y="0"/>
          <wp:positionH relativeFrom="column">
            <wp:align>center</wp:align>
          </wp:positionH>
          <wp:positionV relativeFrom="paragraph">
            <wp:posOffset>-3175</wp:posOffset>
          </wp:positionV>
          <wp:extent cx="6743700" cy="276225"/>
          <wp:effectExtent l="0" t="0" r="0" b="9525"/>
          <wp:wrapSquare wrapText="bothSides"/>
          <wp:docPr id="2" name="Billede 2" descr="dp-brevhoved-u-journalnummer-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-brevhoved-u-journalnummer-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18B"/>
    <w:multiLevelType w:val="hybridMultilevel"/>
    <w:tmpl w:val="50D43940"/>
    <w:lvl w:ilvl="0" w:tplc="A8426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B87DAA"/>
    <w:multiLevelType w:val="hybridMultilevel"/>
    <w:tmpl w:val="82A43D12"/>
    <w:lvl w:ilvl="0" w:tplc="B28087F6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7BF"/>
    <w:multiLevelType w:val="hybridMultilevel"/>
    <w:tmpl w:val="446A1D2C"/>
    <w:lvl w:ilvl="0" w:tplc="781C4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34FE60D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4D18EF08">
      <w:numFmt w:val="bullet"/>
      <w:lvlText w:val="-"/>
      <w:lvlJc w:val="left"/>
      <w:pPr>
        <w:tabs>
          <w:tab w:val="num" w:pos="215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93212"/>
    <w:multiLevelType w:val="hybridMultilevel"/>
    <w:tmpl w:val="D34699F6"/>
    <w:lvl w:ilvl="0" w:tplc="683EA8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3752D"/>
    <w:multiLevelType w:val="hybridMultilevel"/>
    <w:tmpl w:val="3460CB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39C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605FBA"/>
    <w:multiLevelType w:val="hybridMultilevel"/>
    <w:tmpl w:val="23FC03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3FB"/>
    <w:multiLevelType w:val="hybridMultilevel"/>
    <w:tmpl w:val="50202F80"/>
    <w:lvl w:ilvl="0" w:tplc="60C2669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735"/>
    <w:multiLevelType w:val="hybridMultilevel"/>
    <w:tmpl w:val="725A59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1791309">
    <w:abstractNumId w:val="7"/>
  </w:num>
  <w:num w:numId="2" w16cid:durableId="1440296111">
    <w:abstractNumId w:val="5"/>
  </w:num>
  <w:num w:numId="3" w16cid:durableId="229460373">
    <w:abstractNumId w:val="8"/>
  </w:num>
  <w:num w:numId="4" w16cid:durableId="1377125773">
    <w:abstractNumId w:val="0"/>
  </w:num>
  <w:num w:numId="5" w16cid:durableId="198634725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856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1139250">
    <w:abstractNumId w:val="3"/>
  </w:num>
  <w:num w:numId="8" w16cid:durableId="390035503">
    <w:abstractNumId w:val="1"/>
  </w:num>
  <w:num w:numId="9" w16cid:durableId="619070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1"/>
    <w:rsid w:val="000043AB"/>
    <w:rsid w:val="0001417F"/>
    <w:rsid w:val="000232BF"/>
    <w:rsid w:val="00023AFC"/>
    <w:rsid w:val="0002480A"/>
    <w:rsid w:val="000250CB"/>
    <w:rsid w:val="000258E0"/>
    <w:rsid w:val="00030282"/>
    <w:rsid w:val="000324A8"/>
    <w:rsid w:val="000333B9"/>
    <w:rsid w:val="000348FE"/>
    <w:rsid w:val="0003553D"/>
    <w:rsid w:val="00035969"/>
    <w:rsid w:val="00035B66"/>
    <w:rsid w:val="00042756"/>
    <w:rsid w:val="00042C31"/>
    <w:rsid w:val="000475BF"/>
    <w:rsid w:val="00050272"/>
    <w:rsid w:val="0005257A"/>
    <w:rsid w:val="0005606C"/>
    <w:rsid w:val="0006191E"/>
    <w:rsid w:val="00063CCD"/>
    <w:rsid w:val="00064585"/>
    <w:rsid w:val="00064F8E"/>
    <w:rsid w:val="00067B5A"/>
    <w:rsid w:val="00075418"/>
    <w:rsid w:val="0007636C"/>
    <w:rsid w:val="00076F65"/>
    <w:rsid w:val="000A34F7"/>
    <w:rsid w:val="000A6BEB"/>
    <w:rsid w:val="000B5378"/>
    <w:rsid w:val="000C03F9"/>
    <w:rsid w:val="000C380E"/>
    <w:rsid w:val="000C768C"/>
    <w:rsid w:val="000D07FE"/>
    <w:rsid w:val="000E3000"/>
    <w:rsid w:val="00103CC3"/>
    <w:rsid w:val="00104D4B"/>
    <w:rsid w:val="00107929"/>
    <w:rsid w:val="00115CE3"/>
    <w:rsid w:val="00122E91"/>
    <w:rsid w:val="001270B7"/>
    <w:rsid w:val="00133D4E"/>
    <w:rsid w:val="001361B4"/>
    <w:rsid w:val="00141965"/>
    <w:rsid w:val="0014349B"/>
    <w:rsid w:val="00151FCC"/>
    <w:rsid w:val="001528DF"/>
    <w:rsid w:val="00155E5C"/>
    <w:rsid w:val="001564A7"/>
    <w:rsid w:val="00160B61"/>
    <w:rsid w:val="00162F4D"/>
    <w:rsid w:val="001672FE"/>
    <w:rsid w:val="001710DD"/>
    <w:rsid w:val="00173E44"/>
    <w:rsid w:val="001844DC"/>
    <w:rsid w:val="001977A0"/>
    <w:rsid w:val="001A2588"/>
    <w:rsid w:val="001A2778"/>
    <w:rsid w:val="001B09D5"/>
    <w:rsid w:val="001C4365"/>
    <w:rsid w:val="001C6427"/>
    <w:rsid w:val="001D061E"/>
    <w:rsid w:val="001D0A65"/>
    <w:rsid w:val="001D1DF6"/>
    <w:rsid w:val="001D7732"/>
    <w:rsid w:val="001E239B"/>
    <w:rsid w:val="001E2967"/>
    <w:rsid w:val="001E445A"/>
    <w:rsid w:val="001E5CB7"/>
    <w:rsid w:val="001E71FE"/>
    <w:rsid w:val="001F0E8A"/>
    <w:rsid w:val="001F3725"/>
    <w:rsid w:val="001F626C"/>
    <w:rsid w:val="001F7BA9"/>
    <w:rsid w:val="00201326"/>
    <w:rsid w:val="00204E83"/>
    <w:rsid w:val="00206398"/>
    <w:rsid w:val="00216BB3"/>
    <w:rsid w:val="002221DF"/>
    <w:rsid w:val="00224871"/>
    <w:rsid w:val="00225123"/>
    <w:rsid w:val="0024034C"/>
    <w:rsid w:val="00240B68"/>
    <w:rsid w:val="00242986"/>
    <w:rsid w:val="002435EC"/>
    <w:rsid w:val="0025191C"/>
    <w:rsid w:val="00251CEA"/>
    <w:rsid w:val="002535DD"/>
    <w:rsid w:val="00253A37"/>
    <w:rsid w:val="00255CFF"/>
    <w:rsid w:val="00263170"/>
    <w:rsid w:val="002742FB"/>
    <w:rsid w:val="0027557D"/>
    <w:rsid w:val="002815CC"/>
    <w:rsid w:val="002826D5"/>
    <w:rsid w:val="002827B6"/>
    <w:rsid w:val="00284B86"/>
    <w:rsid w:val="00286DDA"/>
    <w:rsid w:val="00291178"/>
    <w:rsid w:val="002952B6"/>
    <w:rsid w:val="002A4065"/>
    <w:rsid w:val="002A606A"/>
    <w:rsid w:val="002B2C40"/>
    <w:rsid w:val="002B3517"/>
    <w:rsid w:val="002B78EA"/>
    <w:rsid w:val="002D42AE"/>
    <w:rsid w:val="00317F52"/>
    <w:rsid w:val="0032568D"/>
    <w:rsid w:val="00335E60"/>
    <w:rsid w:val="00337F49"/>
    <w:rsid w:val="00340141"/>
    <w:rsid w:val="00340507"/>
    <w:rsid w:val="00351BA2"/>
    <w:rsid w:val="003574BE"/>
    <w:rsid w:val="003606CC"/>
    <w:rsid w:val="00364B7F"/>
    <w:rsid w:val="00367869"/>
    <w:rsid w:val="00374341"/>
    <w:rsid w:val="00383714"/>
    <w:rsid w:val="00383D4F"/>
    <w:rsid w:val="00390659"/>
    <w:rsid w:val="0039288E"/>
    <w:rsid w:val="00394180"/>
    <w:rsid w:val="003A364D"/>
    <w:rsid w:val="003B202C"/>
    <w:rsid w:val="003B36D5"/>
    <w:rsid w:val="003C312E"/>
    <w:rsid w:val="003C4A1E"/>
    <w:rsid w:val="003D07E9"/>
    <w:rsid w:val="003D0BB7"/>
    <w:rsid w:val="003D2B78"/>
    <w:rsid w:val="003D4C2A"/>
    <w:rsid w:val="003D6117"/>
    <w:rsid w:val="003D6AF4"/>
    <w:rsid w:val="003E3FA4"/>
    <w:rsid w:val="003E6B02"/>
    <w:rsid w:val="00421BB7"/>
    <w:rsid w:val="00430C01"/>
    <w:rsid w:val="00435603"/>
    <w:rsid w:val="00441842"/>
    <w:rsid w:val="00447065"/>
    <w:rsid w:val="0044722C"/>
    <w:rsid w:val="00450EE8"/>
    <w:rsid w:val="00452080"/>
    <w:rsid w:val="004529B2"/>
    <w:rsid w:val="00453618"/>
    <w:rsid w:val="0045658B"/>
    <w:rsid w:val="00456C36"/>
    <w:rsid w:val="00457849"/>
    <w:rsid w:val="00464772"/>
    <w:rsid w:val="0046532E"/>
    <w:rsid w:val="00471609"/>
    <w:rsid w:val="00476FCC"/>
    <w:rsid w:val="0048358A"/>
    <w:rsid w:val="00490409"/>
    <w:rsid w:val="0049213E"/>
    <w:rsid w:val="00492C9F"/>
    <w:rsid w:val="00494B36"/>
    <w:rsid w:val="00495A3C"/>
    <w:rsid w:val="004A07CD"/>
    <w:rsid w:val="004B1CD4"/>
    <w:rsid w:val="004B6D7F"/>
    <w:rsid w:val="004C265F"/>
    <w:rsid w:val="004C3ECA"/>
    <w:rsid w:val="004C4E3D"/>
    <w:rsid w:val="004D4702"/>
    <w:rsid w:val="004D5DF2"/>
    <w:rsid w:val="004D6741"/>
    <w:rsid w:val="004E64BF"/>
    <w:rsid w:val="004F142B"/>
    <w:rsid w:val="004F3CB6"/>
    <w:rsid w:val="00501F8B"/>
    <w:rsid w:val="005114D4"/>
    <w:rsid w:val="00513CAE"/>
    <w:rsid w:val="00516735"/>
    <w:rsid w:val="00535416"/>
    <w:rsid w:val="00540F78"/>
    <w:rsid w:val="00543E50"/>
    <w:rsid w:val="00544A27"/>
    <w:rsid w:val="00554772"/>
    <w:rsid w:val="0055493C"/>
    <w:rsid w:val="00554EAF"/>
    <w:rsid w:val="005649B9"/>
    <w:rsid w:val="00567B31"/>
    <w:rsid w:val="005737E1"/>
    <w:rsid w:val="0057665C"/>
    <w:rsid w:val="00585EB1"/>
    <w:rsid w:val="005907D6"/>
    <w:rsid w:val="0059100C"/>
    <w:rsid w:val="00593CDD"/>
    <w:rsid w:val="005948BD"/>
    <w:rsid w:val="00596B46"/>
    <w:rsid w:val="005A235F"/>
    <w:rsid w:val="005A5833"/>
    <w:rsid w:val="005A7E6B"/>
    <w:rsid w:val="005B2294"/>
    <w:rsid w:val="005B41AD"/>
    <w:rsid w:val="005C0691"/>
    <w:rsid w:val="005C298D"/>
    <w:rsid w:val="005C4B0D"/>
    <w:rsid w:val="005C61A1"/>
    <w:rsid w:val="005C7B30"/>
    <w:rsid w:val="005D6652"/>
    <w:rsid w:val="005E6701"/>
    <w:rsid w:val="005F0B24"/>
    <w:rsid w:val="005F0B45"/>
    <w:rsid w:val="005F4757"/>
    <w:rsid w:val="0060774E"/>
    <w:rsid w:val="00612857"/>
    <w:rsid w:val="00621184"/>
    <w:rsid w:val="0063018D"/>
    <w:rsid w:val="00641520"/>
    <w:rsid w:val="006520A8"/>
    <w:rsid w:val="00667FBC"/>
    <w:rsid w:val="00673A67"/>
    <w:rsid w:val="00685B84"/>
    <w:rsid w:val="00695F5E"/>
    <w:rsid w:val="006970C1"/>
    <w:rsid w:val="006A6E23"/>
    <w:rsid w:val="006B0646"/>
    <w:rsid w:val="006B6CDB"/>
    <w:rsid w:val="006C632F"/>
    <w:rsid w:val="006C729D"/>
    <w:rsid w:val="006D340F"/>
    <w:rsid w:val="006D6A55"/>
    <w:rsid w:val="006D7E4F"/>
    <w:rsid w:val="006E11F1"/>
    <w:rsid w:val="006E2AD9"/>
    <w:rsid w:val="006F6CB3"/>
    <w:rsid w:val="00705CAE"/>
    <w:rsid w:val="00714B6C"/>
    <w:rsid w:val="0071639D"/>
    <w:rsid w:val="00720B6F"/>
    <w:rsid w:val="007254C3"/>
    <w:rsid w:val="00736A3C"/>
    <w:rsid w:val="0074335E"/>
    <w:rsid w:val="00745B25"/>
    <w:rsid w:val="007468EF"/>
    <w:rsid w:val="00763506"/>
    <w:rsid w:val="00763C00"/>
    <w:rsid w:val="00770AAE"/>
    <w:rsid w:val="00770AF4"/>
    <w:rsid w:val="007725F7"/>
    <w:rsid w:val="007733DB"/>
    <w:rsid w:val="0079086B"/>
    <w:rsid w:val="00791C8B"/>
    <w:rsid w:val="0079646F"/>
    <w:rsid w:val="007968A0"/>
    <w:rsid w:val="007A0AC5"/>
    <w:rsid w:val="007C55EE"/>
    <w:rsid w:val="007C63CB"/>
    <w:rsid w:val="007D48F9"/>
    <w:rsid w:val="007E1B77"/>
    <w:rsid w:val="007F2A4D"/>
    <w:rsid w:val="007F47F8"/>
    <w:rsid w:val="00803976"/>
    <w:rsid w:val="00804331"/>
    <w:rsid w:val="008153CF"/>
    <w:rsid w:val="00824A24"/>
    <w:rsid w:val="00841EB2"/>
    <w:rsid w:val="00844622"/>
    <w:rsid w:val="008468DA"/>
    <w:rsid w:val="00846B7E"/>
    <w:rsid w:val="00850064"/>
    <w:rsid w:val="00853B0C"/>
    <w:rsid w:val="00860EB6"/>
    <w:rsid w:val="008659D2"/>
    <w:rsid w:val="00865E27"/>
    <w:rsid w:val="0087723E"/>
    <w:rsid w:val="008840CC"/>
    <w:rsid w:val="0089480A"/>
    <w:rsid w:val="00896C81"/>
    <w:rsid w:val="00896EE5"/>
    <w:rsid w:val="008A1454"/>
    <w:rsid w:val="008A5E93"/>
    <w:rsid w:val="008B0C1A"/>
    <w:rsid w:val="008B2CBB"/>
    <w:rsid w:val="008B6427"/>
    <w:rsid w:val="008C02C4"/>
    <w:rsid w:val="008C342C"/>
    <w:rsid w:val="008C4210"/>
    <w:rsid w:val="008D194A"/>
    <w:rsid w:val="008D2F8F"/>
    <w:rsid w:val="008D300A"/>
    <w:rsid w:val="008E7048"/>
    <w:rsid w:val="008E72C5"/>
    <w:rsid w:val="008F6727"/>
    <w:rsid w:val="0093333F"/>
    <w:rsid w:val="009341E6"/>
    <w:rsid w:val="00937EF8"/>
    <w:rsid w:val="00946D8F"/>
    <w:rsid w:val="00950098"/>
    <w:rsid w:val="00984234"/>
    <w:rsid w:val="0099400E"/>
    <w:rsid w:val="0099450F"/>
    <w:rsid w:val="00994AF8"/>
    <w:rsid w:val="00997024"/>
    <w:rsid w:val="00997CEE"/>
    <w:rsid w:val="009A0556"/>
    <w:rsid w:val="009A251F"/>
    <w:rsid w:val="009B4A26"/>
    <w:rsid w:val="009D1C92"/>
    <w:rsid w:val="009E112D"/>
    <w:rsid w:val="009E1B26"/>
    <w:rsid w:val="009E498B"/>
    <w:rsid w:val="009F1E3C"/>
    <w:rsid w:val="009F4DF1"/>
    <w:rsid w:val="009F676A"/>
    <w:rsid w:val="009F6DC0"/>
    <w:rsid w:val="009F75AA"/>
    <w:rsid w:val="00A04B6B"/>
    <w:rsid w:val="00A167BB"/>
    <w:rsid w:val="00A23203"/>
    <w:rsid w:val="00A26F86"/>
    <w:rsid w:val="00A355D1"/>
    <w:rsid w:val="00A35EEA"/>
    <w:rsid w:val="00A40D8C"/>
    <w:rsid w:val="00A4634D"/>
    <w:rsid w:val="00A528C3"/>
    <w:rsid w:val="00A5766B"/>
    <w:rsid w:val="00A616BF"/>
    <w:rsid w:val="00A6393F"/>
    <w:rsid w:val="00A718F7"/>
    <w:rsid w:val="00A74D4A"/>
    <w:rsid w:val="00A7668D"/>
    <w:rsid w:val="00A93BC7"/>
    <w:rsid w:val="00A97D47"/>
    <w:rsid w:val="00AA03F2"/>
    <w:rsid w:val="00AA0B41"/>
    <w:rsid w:val="00AA4091"/>
    <w:rsid w:val="00AA6DCF"/>
    <w:rsid w:val="00AB5861"/>
    <w:rsid w:val="00AC34A6"/>
    <w:rsid w:val="00AC45AC"/>
    <w:rsid w:val="00AC46C8"/>
    <w:rsid w:val="00AC4DAA"/>
    <w:rsid w:val="00AC655D"/>
    <w:rsid w:val="00AD2640"/>
    <w:rsid w:val="00AE55DD"/>
    <w:rsid w:val="00AF33CC"/>
    <w:rsid w:val="00B01D9A"/>
    <w:rsid w:val="00B03FAC"/>
    <w:rsid w:val="00B05D4B"/>
    <w:rsid w:val="00B063B7"/>
    <w:rsid w:val="00B0667F"/>
    <w:rsid w:val="00B12A79"/>
    <w:rsid w:val="00B234EB"/>
    <w:rsid w:val="00B37781"/>
    <w:rsid w:val="00B42A8C"/>
    <w:rsid w:val="00B51037"/>
    <w:rsid w:val="00B54B14"/>
    <w:rsid w:val="00B5782F"/>
    <w:rsid w:val="00B60CE5"/>
    <w:rsid w:val="00B65567"/>
    <w:rsid w:val="00B7070B"/>
    <w:rsid w:val="00B77795"/>
    <w:rsid w:val="00B82D91"/>
    <w:rsid w:val="00B86718"/>
    <w:rsid w:val="00B92277"/>
    <w:rsid w:val="00B92AC8"/>
    <w:rsid w:val="00BA7225"/>
    <w:rsid w:val="00BA7F7C"/>
    <w:rsid w:val="00BB1274"/>
    <w:rsid w:val="00BB1BEF"/>
    <w:rsid w:val="00BD5A0B"/>
    <w:rsid w:val="00BE4739"/>
    <w:rsid w:val="00BF1CBF"/>
    <w:rsid w:val="00BF2476"/>
    <w:rsid w:val="00BF2911"/>
    <w:rsid w:val="00BF29B5"/>
    <w:rsid w:val="00BF60E9"/>
    <w:rsid w:val="00C02238"/>
    <w:rsid w:val="00C069FB"/>
    <w:rsid w:val="00C251E0"/>
    <w:rsid w:val="00C4508D"/>
    <w:rsid w:val="00C45B3E"/>
    <w:rsid w:val="00C60DCD"/>
    <w:rsid w:val="00C6257C"/>
    <w:rsid w:val="00C628D7"/>
    <w:rsid w:val="00C631C2"/>
    <w:rsid w:val="00C67637"/>
    <w:rsid w:val="00C83ACB"/>
    <w:rsid w:val="00C869D1"/>
    <w:rsid w:val="00CA4AD9"/>
    <w:rsid w:val="00CA53D3"/>
    <w:rsid w:val="00CA7501"/>
    <w:rsid w:val="00CC1E37"/>
    <w:rsid w:val="00CC5656"/>
    <w:rsid w:val="00CD41E4"/>
    <w:rsid w:val="00CD4585"/>
    <w:rsid w:val="00CD59D4"/>
    <w:rsid w:val="00CD733C"/>
    <w:rsid w:val="00CE05C4"/>
    <w:rsid w:val="00CE1493"/>
    <w:rsid w:val="00CF5C7D"/>
    <w:rsid w:val="00CF5D81"/>
    <w:rsid w:val="00CF7457"/>
    <w:rsid w:val="00CF7FA8"/>
    <w:rsid w:val="00D05518"/>
    <w:rsid w:val="00D068F3"/>
    <w:rsid w:val="00D10CB5"/>
    <w:rsid w:val="00D32B42"/>
    <w:rsid w:val="00D33374"/>
    <w:rsid w:val="00D3392E"/>
    <w:rsid w:val="00D33EC4"/>
    <w:rsid w:val="00D3509D"/>
    <w:rsid w:val="00D42EE5"/>
    <w:rsid w:val="00D438EB"/>
    <w:rsid w:val="00D52CF3"/>
    <w:rsid w:val="00D55469"/>
    <w:rsid w:val="00D57BF2"/>
    <w:rsid w:val="00D719C2"/>
    <w:rsid w:val="00D774E4"/>
    <w:rsid w:val="00D81246"/>
    <w:rsid w:val="00D81C82"/>
    <w:rsid w:val="00D8308A"/>
    <w:rsid w:val="00D91E4B"/>
    <w:rsid w:val="00DA2D94"/>
    <w:rsid w:val="00DA6EFF"/>
    <w:rsid w:val="00DB4194"/>
    <w:rsid w:val="00DC005B"/>
    <w:rsid w:val="00DC20C6"/>
    <w:rsid w:val="00DD2A6F"/>
    <w:rsid w:val="00DD36A3"/>
    <w:rsid w:val="00DE0A32"/>
    <w:rsid w:val="00DE3FED"/>
    <w:rsid w:val="00DE5206"/>
    <w:rsid w:val="00DE59C6"/>
    <w:rsid w:val="00E12995"/>
    <w:rsid w:val="00E14424"/>
    <w:rsid w:val="00E21285"/>
    <w:rsid w:val="00E236FA"/>
    <w:rsid w:val="00E31C0C"/>
    <w:rsid w:val="00E34289"/>
    <w:rsid w:val="00E35825"/>
    <w:rsid w:val="00E35A96"/>
    <w:rsid w:val="00E47D9B"/>
    <w:rsid w:val="00E506C2"/>
    <w:rsid w:val="00E53CA2"/>
    <w:rsid w:val="00E552EA"/>
    <w:rsid w:val="00E63205"/>
    <w:rsid w:val="00E759AA"/>
    <w:rsid w:val="00E80D60"/>
    <w:rsid w:val="00E841DF"/>
    <w:rsid w:val="00E84F12"/>
    <w:rsid w:val="00E85CCB"/>
    <w:rsid w:val="00E92251"/>
    <w:rsid w:val="00EA2E3A"/>
    <w:rsid w:val="00EA5402"/>
    <w:rsid w:val="00EA7CE6"/>
    <w:rsid w:val="00EB1D6F"/>
    <w:rsid w:val="00ED431F"/>
    <w:rsid w:val="00ED6D44"/>
    <w:rsid w:val="00EF1BA0"/>
    <w:rsid w:val="00EF3677"/>
    <w:rsid w:val="00F00D04"/>
    <w:rsid w:val="00F00D9B"/>
    <w:rsid w:val="00F017B6"/>
    <w:rsid w:val="00F1376B"/>
    <w:rsid w:val="00F16B92"/>
    <w:rsid w:val="00F16DA9"/>
    <w:rsid w:val="00F36BDF"/>
    <w:rsid w:val="00F36F87"/>
    <w:rsid w:val="00F41BC1"/>
    <w:rsid w:val="00F427FD"/>
    <w:rsid w:val="00F4468B"/>
    <w:rsid w:val="00F515E4"/>
    <w:rsid w:val="00F60166"/>
    <w:rsid w:val="00F72084"/>
    <w:rsid w:val="00F74360"/>
    <w:rsid w:val="00F932CF"/>
    <w:rsid w:val="00F9779C"/>
    <w:rsid w:val="00FA28AF"/>
    <w:rsid w:val="00FB5B34"/>
    <w:rsid w:val="00FB7F9C"/>
    <w:rsid w:val="00FD22DA"/>
    <w:rsid w:val="00FD6441"/>
    <w:rsid w:val="00FE1957"/>
    <w:rsid w:val="00FE5238"/>
    <w:rsid w:val="00FE7478"/>
    <w:rsid w:val="00FF016D"/>
    <w:rsid w:val="00FF1801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74B32"/>
  <w15:docId w15:val="{2F99ED69-16FC-491F-B8D0-AB83EE9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8F3"/>
  </w:style>
  <w:style w:type="paragraph" w:styleId="Overskrift1">
    <w:name w:val="heading 1"/>
    <w:basedOn w:val="Normal"/>
    <w:next w:val="Normal"/>
    <w:qFormat/>
    <w:pPr>
      <w:keepNext/>
      <w:tabs>
        <w:tab w:val="left" w:pos="6660"/>
      </w:tabs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Overskrift-">
    <w:name w:val="Overskrift-"/>
    <w:basedOn w:val="Normal"/>
    <w:rsid w:val="0002480A"/>
    <w:pPr>
      <w:tabs>
        <w:tab w:val="left" w:pos="5760"/>
        <w:tab w:val="left" w:pos="6227"/>
      </w:tabs>
    </w:pPr>
    <w:rPr>
      <w:sz w:val="24"/>
      <w:u w:val="single"/>
    </w:rPr>
  </w:style>
  <w:style w:type="table" w:styleId="Tabel-Gitter">
    <w:name w:val="Table Grid"/>
    <w:basedOn w:val="Tabel-Normal"/>
    <w:rsid w:val="00B6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rsid w:val="00B65567"/>
    <w:rPr>
      <w:sz w:val="24"/>
    </w:rPr>
  </w:style>
  <w:style w:type="paragraph" w:styleId="Listeafsnit">
    <w:name w:val="List Paragraph"/>
    <w:basedOn w:val="Normal"/>
    <w:uiPriority w:val="34"/>
    <w:qFormat/>
    <w:rsid w:val="00C60DCD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4C3ECA"/>
  </w:style>
  <w:style w:type="character" w:styleId="Kommentarhenvisning">
    <w:name w:val="annotation reference"/>
    <w:basedOn w:val="Standardskrifttypeiafsnit"/>
    <w:semiHidden/>
    <w:unhideWhenUsed/>
    <w:rsid w:val="00C676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67637"/>
  </w:style>
  <w:style w:type="character" w:customStyle="1" w:styleId="KommentartekstTegn">
    <w:name w:val="Kommentartekst Tegn"/>
    <w:basedOn w:val="Standardskrifttypeiafsnit"/>
    <w:link w:val="Kommentartekst"/>
    <w:semiHidden/>
    <w:rsid w:val="00C67637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6763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67637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770AF4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FF016D"/>
    <w:rPr>
      <w:b/>
      <w:bCs/>
    </w:rPr>
  </w:style>
  <w:style w:type="character" w:customStyle="1" w:styleId="articletrumpet">
    <w:name w:val="article__trumpet"/>
    <w:basedOn w:val="Standardskrifttypeiafsnit"/>
    <w:rsid w:val="0038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\AppData\Local\cBrain\F2\.tmp\14ca3ea9b86443a39c7a33ed1161d54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14ca3ea9b86443a39c7a33ed1161d54b</Template>
  <TotalTime>4</TotalTime>
  <Pages>5</Pages>
  <Words>1251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Psykolog Forening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Stengaard Madsen</dc:creator>
  <cp:lastModifiedBy>Rikke Aagaard Linnemann</cp:lastModifiedBy>
  <cp:revision>3</cp:revision>
  <cp:lastPrinted>2022-03-29T08:28:00Z</cp:lastPrinted>
  <dcterms:created xsi:type="dcterms:W3CDTF">2022-04-26T08:29:00Z</dcterms:created>
  <dcterms:modified xsi:type="dcterms:W3CDTF">2022-04-26T11:15:00Z</dcterms:modified>
</cp:coreProperties>
</file>